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AI Impact Assessment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Organisation: Acme Inc</w:t>
      </w:r>
    </w:p>
    <w:p>
      <w:r>
        <w:t xml:space="preserve">Project: nextjs-saas-example</w:t>
      </w:r>
    </w:p>
    <w:p>
      <w:r>
        <w:t xml:space="preserve">Overall AI Risk Classification: Limited</w:t>
      </w:r>
    </w:p>
    <w:p>
      <w:r>
        <w:t xml:space="preserve">Assessment Date: 2026-03-19</w:t>
      </w:r>
    </w:p>
    <w:p>
      <w:r>
        <w:t xml:space="preserve">Next Review: 2027-03-19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This document provides a combined impact assessment under the **EU AI Act** (Regulation (EU) 2024/1689) and the **Colorado AI Act** (SB 24-205). It evaluates each AI service integrated into this application, classifies risk levels, identifies required mitigation measures, and establishes a monitoring plan.</w:t>
      </w:r>
    </w:p>
    <w:p>
      <w:pPr>
        <w:pStyle w:val="Heading2"/>
      </w:pPr>
      <w:r>
        <w:t>1. Regulatory Overview</w:t>
      </w:r>
    </w:p>
    <w:p>
      <w:pPr>
        <w:pStyle w:val="Heading3"/>
      </w:pPr>
      <w:r>
        <w:t>1.1 EU AI Act (Regulation (EU) 2024/1689)</w:t>
      </w:r>
    </w:p>
    <w:p>
      <w:r>
        <w:t xml:space="preserve">The EU AI Act establishes a risk-based regulatory framework for AI systems:</w:t>
      </w:r>
    </w:p>
    <w:p>
      <w:r>
        <w:rPr>
          <w:sz w:val="20"/>
        </w:rPr>
        <w:t xml:space="preserve">Risk Level  |  Requirements  |  Timeline</w:t>
      </w:r>
    </w:p>
    <w:p>
      <w:r>
        <w:rPr>
          <w:sz w:val="20"/>
        </w:rPr>
        <w:t xml:space="preserve">**Unacceptable**  |  Prohibited — must not be deployed in the EU  |  2 February 2025</w:t>
      </w:r>
    </w:p>
    <w:p>
      <w:r>
        <w:rPr>
          <w:sz w:val="20"/>
        </w:rPr>
        <w:t xml:space="preserve">**High**  |  Conformity assessment, registration, continuous monitoring  |  2 August 2026</w:t>
      </w:r>
    </w:p>
    <w:p>
      <w:r>
        <w:rPr>
          <w:sz w:val="20"/>
        </w:rPr>
        <w:t xml:space="preserve">**Limited**  |  Transparency obligations (disclosure to users)  |  2 August 2026</w:t>
      </w:r>
    </w:p>
    <w:p>
      <w:r>
        <w:rPr>
          <w:sz w:val="20"/>
        </w:rPr>
        <w:t xml:space="preserve">**Minimal**  |  No mandatory requirements; voluntary codes of conduct  |  Effective now</w:t>
      </w:r>
    </w:p>
    <w:p>
      <w:pPr>
        <w:pStyle w:val="Heading3"/>
      </w:pPr>
      <w:r>
        <w:t>1.2 Colorado AI Act (SB 24-205)</w:t>
      </w:r>
    </w:p>
    <w:p>
      <w:r>
        <w:t xml:space="preserve">The Colorado AI Act, effective 1 February 2026, requires developers and deployers of "high-risk AI systems" that make or substantially support consequential decisions to:</w:t>
      </w:r>
    </w:p>
    <w:p>
      <w:pPr>
        <w:pStyle w:val="ListParagraph"/>
        <w:numPr>
          <w:ilvl w:val="0"/>
          <w:numId w:val="1"/>
        </w:numPr>
      </w:pPr>
      <w:r>
        <w:t xml:space="preserve">Perform impact assessments before deployment</w:t>
      </w:r>
    </w:p>
    <w:p>
      <w:pPr>
        <w:pStyle w:val="ListParagraph"/>
        <w:numPr>
          <w:ilvl w:val="0"/>
          <w:numId w:val="1"/>
        </w:numPr>
      </w:pPr>
      <w:r>
        <w:t xml:space="preserve">Provide transparency notices to consumers</w:t>
      </w:r>
    </w:p>
    <w:p>
      <w:pPr>
        <w:pStyle w:val="ListParagraph"/>
        <w:numPr>
          <w:ilvl w:val="0"/>
          <w:numId w:val="1"/>
        </w:numPr>
      </w:pPr>
      <w:r>
        <w:t xml:space="preserve">Implement risk management programmes</w:t>
      </w:r>
    </w:p>
    <w:p>
      <w:pPr>
        <w:pStyle w:val="ListParagraph"/>
        <w:numPr>
          <w:ilvl w:val="0"/>
          <w:numId w:val="1"/>
        </w:numPr>
      </w:pPr>
      <w:r>
        <w:t xml:space="preserve">Enable human appeal mechanisms for adverse decisions</w:t>
      </w:r>
    </w:p>
    <w:p>
      <w:pPr>
        <w:pStyle w:val="ListParagraph"/>
        <w:numPr>
          <w:ilvl w:val="0"/>
          <w:numId w:val="1"/>
        </w:numPr>
      </w:pPr>
      <w:r>
        <w:t xml:space="preserve">Report discovered algorithmic discrimination to the AG within 90 days</w:t>
      </w:r>
    </w:p>
    <w:p>
      <w:r>
        <w:t xml:space="preserve">Consequential decisions include those affecting education, employment, financial services, healthcare, housing, insurance, and legal services.</w:t>
      </w:r>
    </w:p>
    <w:p>
      <w:pPr>
        <w:pStyle w:val="Heading2"/>
      </w:pPr>
      <w:r>
        <w:t>2. AI Services Inventory</w:t>
      </w:r>
    </w:p>
    <w:p>
      <w:r>
        <w:rPr>
          <w:sz w:val="20"/>
        </w:rPr>
        <w:t xml:space="preserve">Service  |  Data Processed  |  EU AI Act Risk  |  Colorado AI Act  |  Monitoring</w:t>
      </w:r>
    </w:p>
    <w:p>
      <w:r>
        <w:rPr>
          <w:sz w:val="20"/>
        </w:rPr>
        <w:t xml:space="preserve">openai  |  user prompts, conversation history, generated content  |  **Limited**  |  N/A  |  Semi-annual review</w:t>
      </w:r>
    </w:p>
    <w:p>
      <w:pPr>
        <w:pStyle w:val="Heading2"/>
      </w:pPr>
      <w:r>
        <w:t>3. Per-Service Risk Evaluation</w:t>
      </w:r>
    </w:p>
    <w:p>
      <w:pPr>
        <w:pStyle w:val="Heading3"/>
      </w:pPr>
      <w:r>
        <w:t>3.1 openai</w:t>
      </w:r>
    </w:p>
    <w:p>
      <w:r>
        <w:rPr>
          <w:sz w:val="20"/>
        </w:rPr>
        <w:t xml:space="preserve">Field  |  Detail</w:t>
      </w:r>
    </w:p>
    <w:p>
      <w:r>
        <w:rPr>
          <w:sz w:val="20"/>
        </w:rPr>
        <w:t xml:space="preserve">**Service**  |  `openai`</w:t>
      </w:r>
    </w:p>
    <w:p>
      <w:r>
        <w:rPr>
          <w:sz w:val="20"/>
        </w:rPr>
        <w:t xml:space="preserve">**Category**  |  ai</w:t>
      </w:r>
    </w:p>
    <w:p>
      <w:r>
        <w:rPr>
          <w:sz w:val="20"/>
        </w:rPr>
        <w:t xml:space="preserve">**Data Processed**  |  user prompts, conversation history, generated content</w:t>
      </w:r>
    </w:p>
    <w:p>
      <w:r>
        <w:rPr>
          <w:sz w:val="20"/>
        </w:rPr>
        <w:t xml:space="preserve">**EU AI Act Classification**  |  Limited</w:t>
      </w:r>
    </w:p>
    <w:p>
      <w:r>
        <w:rPr>
          <w:sz w:val="20"/>
        </w:rPr>
        <w:t xml:space="preserve">**Colorado AI Act**  |  Not in scope</w:t>
      </w:r>
    </w:p>
    <w:p>
      <w:r>
        <w:rPr>
          <w:sz w:val="20"/>
        </w:rPr>
        <w:t xml:space="preserve">**Monitoring Frequency**  |  Semi-annual review</w:t>
      </w:r>
    </w:p>
    <w:p>
      <w:r>
        <w:t xml:space="preserve">Rationale: This AI service interacts with end users or generates content, triggering transparency obligations under EU AI Act Article 50.</w:t>
      </w:r>
    </w:p>
    <w:p>
      <w:r>
        <w:t xml:space="preserve">Required Mitigations:</w:t>
      </w:r>
    </w:p>
    <w:p>
      <w:pPr>
        <w:pStyle w:val="ListParagraph"/>
        <w:numPr>
          <w:ilvl w:val="0"/>
          <w:numId w:val="1"/>
        </w:numPr>
      </w:pPr>
      <w:r>
        <w:t xml:space="preserve">[ ] Disclose AI interaction to users before or during use</w:t>
      </w:r>
    </w:p>
    <w:p>
      <w:pPr>
        <w:pStyle w:val="ListParagraph"/>
        <w:numPr>
          <w:ilvl w:val="0"/>
          <w:numId w:val="1"/>
        </w:numPr>
      </w:pPr>
      <w:r>
        <w:t xml:space="preserve">[ ] Label AI-generated content where required (deepfakes, synthetic text)</w:t>
      </w:r>
    </w:p>
    <w:p>
      <w:pPr>
        <w:pStyle w:val="ListParagraph"/>
        <w:numPr>
          <w:ilvl w:val="0"/>
          <w:numId w:val="1"/>
        </w:numPr>
      </w:pPr>
      <w:r>
        <w:t xml:space="preserve">[ ] Maintain AI disclosure documentation</w:t>
      </w:r>
    </w:p>
    <w:p>
      <w:pPr>
        <w:pStyle w:val="ListParagraph"/>
        <w:numPr>
          <w:ilvl w:val="0"/>
          <w:numId w:val="1"/>
        </w:numPr>
      </w:pPr>
      <w:r>
        <w:t xml:space="preserve">[ ] Provide opt-out mechanism where feasible</w:t>
      </w:r>
    </w:p>
    <w:p>
      <w:pPr>
        <w:pStyle w:val="ListParagraph"/>
        <w:numPr>
          <w:ilvl w:val="0"/>
          <w:numId w:val="1"/>
        </w:numPr>
      </w:pPr>
      <w:r>
        <w:t xml:space="preserve">[ ] Log user interactions for audit purposes</w:t>
      </w:r>
    </w:p>
    <w:p>
      <w:pPr>
        <w:pStyle w:val="Heading2"/>
      </w:pPr>
      <w:r>
        <w:t>4. Algorithmic Discrimination Assessment</w:t>
      </w:r>
    </w:p>
    <w:p>
      <w:r>
        <w:t xml:space="preserve">Under the Colorado AI Act, deployers must evaluate AI systems for algorithmic discrimination — differential treatment that disfavours individuals based on protected characteristics.</w:t>
      </w:r>
    </w:p>
    <w:p>
      <w:pPr>
        <w:pStyle w:val="Heading3"/>
      </w:pPr>
      <w:r>
        <w:t>4.1 Protected Characteristics (Colorado)</w:t>
      </w:r>
    </w:p>
    <w:p>
      <w:pPr>
        <w:pStyle w:val="ListParagraph"/>
        <w:numPr>
          <w:ilvl w:val="0"/>
          <w:numId w:val="1"/>
        </w:numPr>
      </w:pPr>
      <w:r>
        <w:t xml:space="preserve">Age</w:t>
      </w:r>
    </w:p>
    <w:p>
      <w:pPr>
        <w:pStyle w:val="ListParagraph"/>
        <w:numPr>
          <w:ilvl w:val="0"/>
          <w:numId w:val="1"/>
        </w:numPr>
      </w:pPr>
      <w:r>
        <w:t xml:space="preserve">Colour</w:t>
      </w:r>
    </w:p>
    <w:p>
      <w:pPr>
        <w:pStyle w:val="ListParagraph"/>
        <w:numPr>
          <w:ilvl w:val="0"/>
          <w:numId w:val="1"/>
        </w:numPr>
      </w:pPr>
      <w:r>
        <w:t xml:space="preserve">Disability</w:t>
      </w:r>
    </w:p>
    <w:p>
      <w:pPr>
        <w:pStyle w:val="ListParagraph"/>
        <w:numPr>
          <w:ilvl w:val="0"/>
          <w:numId w:val="1"/>
        </w:numPr>
      </w:pPr>
      <w:r>
        <w:t xml:space="preserve">Ethnicity</w:t>
      </w:r>
    </w:p>
    <w:p>
      <w:pPr>
        <w:pStyle w:val="ListParagraph"/>
        <w:numPr>
          <w:ilvl w:val="0"/>
          <w:numId w:val="1"/>
        </w:numPr>
      </w:pPr>
      <w:r>
        <w:t xml:space="preserve">Genetic information</w:t>
      </w:r>
    </w:p>
    <w:p>
      <w:pPr>
        <w:pStyle w:val="ListParagraph"/>
        <w:numPr>
          <w:ilvl w:val="0"/>
          <w:numId w:val="1"/>
        </w:numPr>
      </w:pPr>
      <w:r>
        <w:t xml:space="preserve">Gender identity / expression</w:t>
      </w:r>
    </w:p>
    <w:p>
      <w:pPr>
        <w:pStyle w:val="ListParagraph"/>
        <w:numPr>
          <w:ilvl w:val="0"/>
          <w:numId w:val="1"/>
        </w:numPr>
      </w:pPr>
      <w:r>
        <w:t xml:space="preserve">National origin</w:t>
      </w:r>
    </w:p>
    <w:p>
      <w:pPr>
        <w:pStyle w:val="ListParagraph"/>
        <w:numPr>
          <w:ilvl w:val="0"/>
          <w:numId w:val="1"/>
        </w:numPr>
      </w:pPr>
      <w:r>
        <w:t xml:space="preserve">Race</w:t>
      </w:r>
    </w:p>
    <w:p>
      <w:pPr>
        <w:pStyle w:val="ListParagraph"/>
        <w:numPr>
          <w:ilvl w:val="0"/>
          <w:numId w:val="1"/>
        </w:numPr>
      </w:pPr>
      <w:r>
        <w:t xml:space="preserve">Religion</w:t>
      </w:r>
    </w:p>
    <w:p>
      <w:pPr>
        <w:pStyle w:val="ListParagraph"/>
        <w:numPr>
          <w:ilvl w:val="0"/>
          <w:numId w:val="1"/>
        </w:numPr>
      </w:pPr>
      <w:r>
        <w:t xml:space="preserve">Sex</w:t>
      </w:r>
    </w:p>
    <w:p>
      <w:pPr>
        <w:pStyle w:val="ListParagraph"/>
        <w:numPr>
          <w:ilvl w:val="0"/>
          <w:numId w:val="1"/>
        </w:numPr>
      </w:pPr>
      <w:r>
        <w:t xml:space="preserve">Veteran status</w:t>
      </w:r>
    </w:p>
    <w:p>
      <w:pPr>
        <w:pStyle w:val="Heading3"/>
      </w:pPr>
      <w:r>
        <w:t>4.2 Assessment Checklist</w:t>
      </w:r>
    </w:p>
    <w:p>
      <w:pPr>
        <w:pStyle w:val="ListParagraph"/>
        <w:numPr>
          <w:ilvl w:val="0"/>
          <w:numId w:val="1"/>
        </w:numPr>
      </w:pPr>
      <w:r>
        <w:t xml:space="preserve">[ ] Identify which AI services make or support consequential decisions</w:t>
      </w:r>
    </w:p>
    <w:p>
      <w:pPr>
        <w:pStyle w:val="ListParagraph"/>
        <w:numPr>
          <w:ilvl w:val="0"/>
          <w:numId w:val="1"/>
        </w:numPr>
      </w:pPr>
      <w:r>
        <w:t xml:space="preserve">[ ] Test each service for disparate impact across protected characteristics</w:t>
      </w:r>
    </w:p>
    <w:p>
      <w:pPr>
        <w:pStyle w:val="ListParagraph"/>
        <w:numPr>
          <w:ilvl w:val="0"/>
          <w:numId w:val="1"/>
        </w:numPr>
      </w:pPr>
      <w:r>
        <w:t xml:space="preserve">[ ] Document testing methodology, datasets, and results</w:t>
      </w:r>
    </w:p>
    <w:p>
      <w:pPr>
        <w:pStyle w:val="ListParagraph"/>
        <w:numPr>
          <w:ilvl w:val="0"/>
          <w:numId w:val="1"/>
        </w:numPr>
      </w:pPr>
      <w:r>
        <w:t xml:space="preserve">[ ] Establish ongoing bias monitoring with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Define remediation procedures for discovered discrimination</w:t>
      </w:r>
    </w:p>
    <w:p>
      <w:pPr>
        <w:pStyle w:val="ListParagraph"/>
        <w:numPr>
          <w:ilvl w:val="0"/>
          <w:numId w:val="1"/>
        </w:numPr>
      </w:pPr>
      <w:r>
        <w:t xml:space="preserve">[ ] Set up 90-day reporting process to Colorado AG for discovered discrimination</w:t>
      </w:r>
    </w:p>
    <w:p>
      <w:pPr>
        <w:pStyle w:val="Heading2"/>
      </w:pPr>
      <w:r>
        <w:t>5. Monitoring Plan</w:t>
      </w:r>
    </w:p>
    <w:p>
      <w:r>
        <w:rPr>
          <w:sz w:val="20"/>
        </w:rPr>
        <w:t xml:space="preserve">Activity  |  Frequency  |  Owner  |  Next Due</w:t>
      </w:r>
    </w:p>
    <w:p>
      <w:r>
        <w:rPr>
          <w:sz w:val="20"/>
        </w:rPr>
        <w:t xml:space="preserve">Full impact assessment review  |  Annual  |  DPO / AI Governance  |  2027-03-19</w:t>
      </w:r>
    </w:p>
    <w:p>
      <w:r>
        <w:rPr>
          <w:sz w:val="20"/>
        </w:rPr>
        <w:t xml:space="preserve">Bias and fairness testing  |  Quarterly  |  Engineering  |  [Set date]</w:t>
      </w:r>
    </w:p>
    <w:p>
      <w:r>
        <w:rPr>
          <w:sz w:val="20"/>
        </w:rPr>
        <w:t xml:space="preserve">Performance metrics review  |  Monthly  |  Engineering  |  [Set date]</w:t>
      </w:r>
    </w:p>
    <w:p>
      <w:r>
        <w:rPr>
          <w:sz w:val="20"/>
        </w:rPr>
        <w:t xml:space="preserve">Incident log review  |  Monthly  |  DPO  |  [Set date]</w:t>
      </w:r>
    </w:p>
    <w:p>
      <w:r>
        <w:rPr>
          <w:sz w:val="20"/>
        </w:rPr>
        <w:t xml:space="preserve">Regulatory change review  |  Quarterly  |  Legal  |  [Set date]</w:t>
      </w:r>
    </w:p>
    <w:p>
      <w:r>
        <w:rPr>
          <w:sz w:val="20"/>
        </w:rPr>
        <w:t xml:space="preserve">Consumer complaint analysis  |  Monthly  |  Support / Legal  |  [Set date]</w:t>
      </w:r>
    </w:p>
    <w:p>
      <w:r>
        <w:rPr>
          <w:sz w:val="20"/>
        </w:rPr>
        <w:t xml:space="preserve">Model drift detection  |  Continuous  |  Engineering  |  Automated</w:t>
      </w:r>
    </w:p>
    <w:p>
      <w:pPr>
        <w:pStyle w:val="Heading2"/>
      </w:pPr>
      <w:r>
        <w:t>6. Transparency Obligations</w:t>
      </w:r>
    </w:p>
    <w:p>
      <w:pPr>
        <w:pStyle w:val="Heading3"/>
      </w:pPr>
      <w:r>
        <w:t>EU AI Act (Article 50)</w:t>
      </w:r>
    </w:p>
    <w:p>
      <w:pPr>
        <w:pStyle w:val="ListParagraph"/>
        <w:numPr>
          <w:ilvl w:val="0"/>
          <w:numId w:val="1"/>
        </w:numPr>
      </w:pPr>
      <w:r>
        <w:t xml:space="preserve">[ ] Users are informed they are interacting with an AI system</w:t>
      </w:r>
    </w:p>
    <w:p>
      <w:pPr>
        <w:pStyle w:val="ListParagraph"/>
        <w:numPr>
          <w:ilvl w:val="0"/>
          <w:numId w:val="1"/>
        </w:numPr>
      </w:pPr>
      <w:r>
        <w:t xml:space="preserve">[ ] AI-generated content is labelled (deepfakes, synthetic text/audio/video)</w:t>
      </w:r>
    </w:p>
    <w:p>
      <w:pPr>
        <w:pStyle w:val="ListParagraph"/>
        <w:numPr>
          <w:ilvl w:val="0"/>
          <w:numId w:val="1"/>
        </w:numPr>
      </w:pPr>
      <w:r>
        <w:t xml:space="preserve">[ ] Emotion recognition / biometric categorisation use is disclosed</w:t>
      </w:r>
    </w:p>
    <w:p>
      <w:pPr>
        <w:pStyle w:val="Heading3"/>
      </w:pPr>
      <w:r>
        <w:t>Colorado AI Act</w:t>
      </w:r>
    </w:p>
    <w:p>
      <w:pPr>
        <w:pStyle w:val="ListParagraph"/>
        <w:numPr>
          <w:ilvl w:val="0"/>
          <w:numId w:val="1"/>
        </w:numPr>
      </w:pPr>
      <w:r>
        <w:t xml:space="preserve">[ ] Consumers notified that AI is being used to make or support consequential decisions</w:t>
      </w:r>
    </w:p>
    <w:p>
      <w:pPr>
        <w:pStyle w:val="ListParagraph"/>
        <w:numPr>
          <w:ilvl w:val="0"/>
          <w:numId w:val="1"/>
        </w:numPr>
      </w:pPr>
      <w:r>
        <w:t xml:space="preserve">[ ] Description of the AI system provided to affected consumers</w:t>
      </w:r>
    </w:p>
    <w:p>
      <w:pPr>
        <w:pStyle w:val="ListParagraph"/>
        <w:numPr>
          <w:ilvl w:val="0"/>
          <w:numId w:val="1"/>
        </w:numPr>
      </w:pPr>
      <w:r>
        <w:t xml:space="preserve">[ ] Consumer has access to appeal process with human reviewer</w:t>
      </w:r>
    </w:p>
    <w:p>
      <w:pPr>
        <w:pStyle w:val="ListParagraph"/>
        <w:numPr>
          <w:ilvl w:val="0"/>
          <w:numId w:val="1"/>
        </w:numPr>
      </w:pPr>
      <w:r>
        <w:t xml:space="preserve">[ ] Contact information for questions about AI use is published</w:t>
      </w:r>
    </w:p>
    <w:p>
      <w:pPr>
        <w:pStyle w:val="Heading2"/>
      </w:pPr>
      <w:r>
        <w:t>7. AI Incident Response</w:t>
      </w:r>
    </w:p>
    <w:p>
      <w:r>
        <w:rPr>
          <w:sz w:val="20"/>
        </w:rPr>
        <w:t xml:space="preserve">Scenario  |  Action  |  Timeline  |  Owner</w:t>
      </w:r>
    </w:p>
    <w:p>
      <w:r>
        <w:rPr>
          <w:sz w:val="20"/>
        </w:rPr>
        <w:t xml:space="preserve">Discovered algorithmic discrimination  |  Report to Colorado AG  |  90 days  |  Legal</w:t>
      </w:r>
    </w:p>
    <w:p>
      <w:r>
        <w:rPr>
          <w:sz w:val="20"/>
        </w:rPr>
        <w:t xml:space="preserve">Serious AI incident (EU)  |  Report to national authority  |  Without undue delay  |  DPO</w:t>
      </w:r>
    </w:p>
    <w:p>
      <w:r>
        <w:rPr>
          <w:sz w:val="20"/>
        </w:rPr>
        <w:t xml:space="preserve">Model producing harmful outputs  |  Suspend AI feature, investigate  |  Immediately  |  Engineering</w:t>
      </w:r>
    </w:p>
    <w:p>
      <w:r>
        <w:rPr>
          <w:sz w:val="20"/>
        </w:rPr>
        <w:t xml:space="preserve">Consumer complaint about AI decision  |  Initiate human review  |  30 days  |  Support</w:t>
      </w:r>
    </w:p>
    <w:p>
      <w:r>
        <w:rPr>
          <w:sz w:val="20"/>
        </w:rPr>
        <w:t xml:space="preserve">Regulatory inquiry  |  Engage legal counsel, compile documentation  |  Within requested timeframe  |  Legal</w:t>
      </w:r>
    </w:p>
    <w:p>
      <w:pPr>
        <w:pStyle w:val="Heading2"/>
      </w:pPr>
      <w:r>
        <w:t>Contact</w:t>
      </w:r>
    </w:p>
    <w:p>
      <w:pPr>
        <w:pStyle w:val="ListParagraph"/>
        <w:numPr>
          <w:ilvl w:val="0"/>
          <w:numId w:val="1"/>
        </w:numPr>
      </w:pPr>
      <w:r>
        <w:t xml:space="preserve">**Email:** legal@acme.com</w:t>
      </w:r>
    </w:p>
    <w:p>
      <w:pPr>
        <w:pStyle w:val="ListParagraph"/>
        <w:numPr>
          <w:ilvl w:val="0"/>
          <w:numId w:val="1"/>
        </w:numPr>
      </w:pPr>
      <w:r>
        <w:t xml:space="preserve">**Data Protection Officer:** dpo@acme-saas.com</w:t>
      </w:r>
    </w:p>
    <w:p>
      <w:pPr>
        <w:pBdr>
          <w:bottom w:val="single" w:sz="6" w:space="1" w:color="999999"/>
        </w:pBdr>
      </w:pPr>
    </w:p>
    <w:p>
      <w:r>
        <w:t xml:space="preserve">This AI Impact Assessment was auto-generated by [Codepliant](https://github.com/joechensmartz/codepliant) based on code analysis. It covers obligations under the EU AI Act (Regulation (EU) 2024/1689) and the Colorado AI Act (SB 24-205). This document must be reviewed by qualified legal counsel and your AI governance team. It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